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CP 7 | TOR X | </w:t>
      </w:r>
      <w:r w:rsidDel="00000000" w:rsidR="00000000" w:rsidRPr="00000000">
        <w:rPr>
          <w:b w:val="1"/>
          <w:sz w:val="30"/>
          <w:szCs w:val="30"/>
          <w:rtl w:val="0"/>
        </w:rPr>
        <w:t xml:space="preserve">40 000 euros à l’hôpital Sacco de Milan de la part du 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Le Tor des Géants® s’implique dans la lutte contre le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COVID-19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. Les bénéfices tirés cette année de la vente des dossards solidaires ont atteint un total de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40 000 euros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et ont été en effet entièrement reversés à l’hôpital Sacco de Milan et au département universitaire concerné.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«L’établissement constitue aujourd’hui le centre de référence pour l’étude et le traitement des maladies infectieuses hautement contagieuses et dangereuses - explique la présidente de Vda Trailers,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Alessandra Nicoletti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- et en particulier, en ces semaines d’urgence sanitaire, il a été immédiatement identifié comme point de référence pour la prise en charge des patients les plus critiques atteints de COVID-19 ».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«Nous avons jugé essentiel de contribuer concrètement aux efforts mis en place pour lutter contre une pandémie qui concerne tout le monde, y compris nous - explique Alessandra Nicoletti - c’est pourquoi nous avons décidé de reverser l’intégralité des bénéfices à l’Hôpital Sacco qui est engagé sur tous les fronts dans la lutte contre le COVID-19, qu’il s’agisse de la prise en charge quotidienne des malades, de l’étude du virus ou des tests sérologiques, dans l’optique de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trouver au plus vite un traitement et un vaccin efficaces».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Dans une lettre envoyée à Vda Trailers, le Dr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Alessandro Visconti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, directeur général de l’établissement, a exprimé, sa « profonde gratitude pour le soutien financier apporté dans le cadre de la gestion de l’urgence de l’épidémie de Covid-19 à laquelle nous sommes confrontés 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PRESS OFFICE TOR DES GEANTS®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Massimiliano Riccio</w:t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+39 347 917 9915</w:t>
      </w:r>
    </w:p>
    <w:p w:rsidR="00000000" w:rsidDel="00000000" w:rsidP="00000000" w:rsidRDefault="00000000" w:rsidRPr="00000000" w14:paraId="0000001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press@vdatrailers.it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Franco Faggiani</w:t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+39 335 661 4970</w:t>
      </w:r>
    </w:p>
    <w:p w:rsidR="00000000" w:rsidDel="00000000" w:rsidP="00000000" w:rsidRDefault="00000000" w:rsidRPr="00000000" w14:paraId="0000001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Skype contact: ilmiocastello.ffaggiani</w:t>
      </w:r>
    </w:p>
    <w:p w:rsidR="00000000" w:rsidDel="00000000" w:rsidP="00000000" w:rsidRDefault="00000000" w:rsidRPr="00000000" w14:paraId="00000016">
      <w:pPr>
        <w:jc w:val="center"/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franco.faggiani@gmail.com</w:t>
      </w:r>
    </w:p>
    <w:p w:rsidR="00000000" w:rsidDel="00000000" w:rsidP="00000000" w:rsidRDefault="00000000" w:rsidRPr="00000000" w14:paraId="00000017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r:id="rId6" w:type="default"/>
      <w:footerReference r:id="rId7" w:type="default"/>
      <w:pgSz w:h="16838" w:w="11906"/>
      <w:pgMar w:bottom="0" w:top="0" w:left="850.3937007874016" w:right="708.5433070866151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color w:val="e9520e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TOR</w:t>
    </w:r>
    <w:r w:rsidDel="00000000" w:rsidR="00000000" w:rsidRPr="00000000">
      <w:rPr>
        <w:b w:val="1"/>
        <w:color w:val="e9520e"/>
        <w:sz w:val="30"/>
        <w:szCs w:val="30"/>
        <w:rtl w:val="0"/>
      </w:rPr>
      <w:t xml:space="preserve">X</w:t>
    </w:r>
  </w:p>
  <w:p w:rsidR="00000000" w:rsidDel="00000000" w:rsidP="00000000" w:rsidRDefault="00000000" w:rsidRPr="00000000" w14:paraId="0000001B">
    <w:pPr>
      <w:jc w:val="center"/>
      <w:rPr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traordinary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treme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perience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9050" distT="19050" distL="19050" distR="19050">
          <wp:extent cx="654844" cy="261938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844" cy="261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628650" cy="2536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253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19050" distT="19050" distL="19050" distR="19050">
          <wp:extent cx="560917" cy="25241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917" cy="25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538163" cy="25413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2541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Valle D'aosta Trailers - Società Sportiva Dilettantistica a Responsabilità Limitata</w:t>
    </w:r>
  </w:p>
  <w:p w:rsidR="00000000" w:rsidDel="00000000" w:rsidP="00000000" w:rsidRDefault="00000000" w:rsidRPr="00000000" w14:paraId="00000020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Via Roma 98 - cp 178 - 11013 Courmayeur - AO - P.IVA e CF 001139360075 - R.E.A. AO-70629 - Nr. Iscr. Reg. Imprese AOSTA 01139360075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5067975</wp:posOffset>
          </wp:positionH>
          <wp:positionV relativeFrom="paragraph">
            <wp:posOffset>161925</wp:posOffset>
          </wp:positionV>
          <wp:extent cx="1508711" cy="676040"/>
          <wp:effectExtent b="0" l="0" r="0" t="0"/>
          <wp:wrapTopAndBottom distB="19050" distT="1905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711" cy="676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